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8BABEC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DEC">
        <w:t>109</w:t>
      </w:r>
      <w:r w:rsidRPr="00CE0424">
        <w:tab/>
      </w:r>
      <w:r w:rsidR="00091557" w:rsidRPr="00CE0424">
        <w:rPr>
          <w:sz w:val="32"/>
          <w:szCs w:val="32"/>
        </w:rPr>
        <w:t>R</w:t>
      </w:r>
      <w:r w:rsidR="003F4FBB">
        <w:rPr>
          <w:sz w:val="32"/>
          <w:szCs w:val="32"/>
        </w:rPr>
        <w:t>4</w:t>
      </w:r>
      <w:r w:rsidR="00091557" w:rsidRPr="00CE0424">
        <w:rPr>
          <w:sz w:val="32"/>
          <w:szCs w:val="32"/>
        </w:rPr>
        <w:t>-</w:t>
      </w:r>
      <w:r w:rsidR="003F4FBB">
        <w:rPr>
          <w:sz w:val="32"/>
          <w:szCs w:val="32"/>
        </w:rPr>
        <w:t>231</w:t>
      </w:r>
      <w:r w:rsidR="008207D6">
        <w:rPr>
          <w:sz w:val="32"/>
          <w:szCs w:val="32"/>
        </w:rPr>
        <w:t>9649</w:t>
      </w:r>
    </w:p>
    <w:p w14:paraId="0CE7B7E6" w14:textId="5DBB5B91" w:rsidR="00E90E49" w:rsidRPr="00CE0424" w:rsidRDefault="00F72DEC" w:rsidP="00311702">
      <w:pPr>
        <w:pStyle w:val="3GPPHeader"/>
      </w:pPr>
      <w:r w:rsidRPr="003F4FBB">
        <w:t>Chicago</w:t>
      </w:r>
      <w:r w:rsidR="0027144F" w:rsidRPr="003F4FBB">
        <w:t xml:space="preserve">, </w:t>
      </w:r>
      <w:r w:rsidRPr="003F4FBB">
        <w:t>USA</w:t>
      </w:r>
      <w:r w:rsidR="0027144F" w:rsidRPr="003F4FBB">
        <w:t xml:space="preserve">, </w:t>
      </w:r>
      <w:r w:rsidRPr="003F4FBB">
        <w:t>November</w:t>
      </w:r>
      <w:r w:rsidR="0027144F" w:rsidRPr="003F4FBB">
        <w:t xml:space="preserve"> </w:t>
      </w:r>
      <w:r w:rsidR="003F4FBB" w:rsidRPr="003F4FBB">
        <w:t>13</w:t>
      </w:r>
      <w:r w:rsidR="001D53E7" w:rsidRPr="003F4FBB">
        <w:t xml:space="preserve">th – </w:t>
      </w:r>
      <w:r w:rsidR="003F4FBB" w:rsidRPr="003F4FBB">
        <w:t>17</w:t>
      </w:r>
      <w:r w:rsidR="001D53E7" w:rsidRPr="003F4FBB">
        <w:t>th</w:t>
      </w:r>
      <w:r w:rsidR="00C37CB2" w:rsidRPr="003F4FBB">
        <w:t xml:space="preserve"> </w:t>
      </w:r>
      <w:r w:rsidR="0027144F" w:rsidRPr="003F4FBB">
        <w:t>20</w:t>
      </w:r>
      <w:r w:rsidR="003F4FBB" w:rsidRPr="003F4FBB">
        <w:t>23</w:t>
      </w:r>
    </w:p>
    <w:p w14:paraId="3086AC07" w14:textId="77777777" w:rsidR="00E90E49" w:rsidRPr="00CE0424" w:rsidRDefault="00E90E49" w:rsidP="00357380">
      <w:pPr>
        <w:pStyle w:val="3GPPHeader"/>
      </w:pPr>
    </w:p>
    <w:p w14:paraId="3982483C" w14:textId="52AC6AD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8207D6">
        <w:rPr>
          <w:sz w:val="22"/>
          <w:lang w:val="sv-FI"/>
        </w:rPr>
        <w:t>8.19.2.3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EBCD26E" w:rsidR="00E90E49" w:rsidRPr="00CE0424" w:rsidRDefault="003D3C45" w:rsidP="00311702">
      <w:pPr>
        <w:pStyle w:val="3GPPHeader"/>
        <w:rPr>
          <w:sz w:val="22"/>
        </w:rPr>
      </w:pPr>
      <w:r>
        <w:rPr>
          <w:sz w:val="22"/>
        </w:rPr>
        <w:t>Title:</w:t>
      </w:r>
      <w:r w:rsidR="00E90E49" w:rsidRPr="00CE0424">
        <w:rPr>
          <w:sz w:val="22"/>
        </w:rPr>
        <w:tab/>
      </w:r>
      <w:r w:rsidR="00B422D3">
        <w:rPr>
          <w:sz w:val="22"/>
        </w:rPr>
        <w:t>On SBFD BS requirements</w:t>
      </w:r>
    </w:p>
    <w:p w14:paraId="025260C1" w14:textId="45EEE071" w:rsidR="00E90E49" w:rsidRPr="00CE0424" w:rsidRDefault="00E90E49" w:rsidP="00D546FF">
      <w:pPr>
        <w:pStyle w:val="3GPPHeader"/>
        <w:rPr>
          <w:sz w:val="22"/>
        </w:rPr>
      </w:pPr>
      <w:r w:rsidRPr="00CE0424">
        <w:rPr>
          <w:sz w:val="22"/>
        </w:rPr>
        <w:t>Document for:</w:t>
      </w:r>
      <w:r w:rsidRPr="00CE0424">
        <w:rPr>
          <w:sz w:val="22"/>
        </w:rPr>
        <w:tab/>
      </w:r>
      <w:r w:rsidR="00B422D3">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50F19BD" w:rsidR="00477768" w:rsidRPr="00CE0424" w:rsidRDefault="006F2084" w:rsidP="00CE0424">
      <w:pPr>
        <w:pStyle w:val="BodyText"/>
      </w:pPr>
      <w:r>
        <w:t xml:space="preserve">During RAN4#108bis, a WF on BS requirements was agreed that captured some agreements on BS requirements together </w:t>
      </w:r>
      <w:r w:rsidR="007132CA">
        <w:t xml:space="preserve">with </w:t>
      </w:r>
      <w:r w:rsidR="00C42DB2">
        <w:t xml:space="preserve">remaining open issues. This contribution </w:t>
      </w:r>
      <w:r w:rsidR="00391724">
        <w:t>provides proposals for the remaining issues.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026E377E" w14:textId="77777777" w:rsidR="00A30397" w:rsidRDefault="00A30397" w:rsidP="00A30397">
      <w:pPr>
        <w:rPr>
          <w:u w:val="single"/>
          <w:lang w:val="en-GB" w:eastAsia="ja-JP"/>
        </w:rPr>
      </w:pPr>
      <w:r>
        <w:rPr>
          <w:u w:val="single"/>
          <w:lang w:val="en-GB" w:eastAsia="ja-JP"/>
        </w:rPr>
        <w:t>TX power dynamic range</w:t>
      </w:r>
    </w:p>
    <w:p w14:paraId="59537CB1" w14:textId="77777777" w:rsidR="00A30397" w:rsidRDefault="00A30397" w:rsidP="00A30397">
      <w:pPr>
        <w:rPr>
          <w:lang w:val="en-GB" w:eastAsia="ja-JP"/>
        </w:rPr>
      </w:pPr>
      <w:r>
        <w:rPr>
          <w:lang w:val="en-GB" w:eastAsia="ja-JP"/>
        </w:rPr>
        <w:t xml:space="preserve">The TX power for an SBFD slot may differ from a non-SBFD slot depending on the portion of the array used for </w:t>
      </w:r>
      <w:proofErr w:type="gramStart"/>
      <w:r>
        <w:rPr>
          <w:lang w:val="en-GB" w:eastAsia="ja-JP"/>
        </w:rPr>
        <w:t>transmit</w:t>
      </w:r>
      <w:proofErr w:type="gramEnd"/>
      <w:r>
        <w:rPr>
          <w:lang w:val="en-GB" w:eastAsia="ja-JP"/>
        </w:rPr>
        <w:t xml:space="preserve"> in the SBFD slot and the number of DL RBs. It might be reasonable to expect that the power used to transmit a single RB for SBFD could be the same as for non-SBFD, since even if a smaller proportion of the array is used to transmit, the power of the used part of the array could be increased to a level sufficient to match the non-SBFD single RB transmission.</w:t>
      </w:r>
    </w:p>
    <w:p w14:paraId="72E37AAD" w14:textId="77777777" w:rsidR="00A30397" w:rsidRDefault="00A30397" w:rsidP="00A30397">
      <w:pPr>
        <w:rPr>
          <w:lang w:val="en-GB" w:eastAsia="ja-JP"/>
        </w:rPr>
      </w:pPr>
      <w:proofErr w:type="gramStart"/>
      <w:r>
        <w:rPr>
          <w:lang w:val="en-GB" w:eastAsia="ja-JP"/>
        </w:rPr>
        <w:t>With this in mind, the</w:t>
      </w:r>
      <w:proofErr w:type="gramEnd"/>
      <w:r>
        <w:rPr>
          <w:lang w:val="en-GB" w:eastAsia="ja-JP"/>
        </w:rPr>
        <w:t xml:space="preserve"> TX power dynamic range requirement could be defined as the difference between the declared maximum output power for SBFD with all DL RBs active and the single RB power that is the same as for non-SBFD slots.</w:t>
      </w:r>
    </w:p>
    <w:p w14:paraId="1BE630AB" w14:textId="77777777" w:rsidR="00A30397" w:rsidRDefault="00A30397" w:rsidP="00A30397">
      <w:pPr>
        <w:pStyle w:val="Proposal"/>
        <w:rPr>
          <w:lang w:val="en-GB"/>
        </w:rPr>
      </w:pPr>
      <w:bookmarkStart w:id="1" w:name="_Toc146630306"/>
      <w:bookmarkStart w:id="2" w:name="_Toc149901368"/>
      <w:r>
        <w:rPr>
          <w:lang w:val="en-GB"/>
        </w:rPr>
        <w:t>Define the output power dynamic range requirement for SBFD as the ratio of the declared rated output power with all DL RBs active for SBFD (maximum) and the same single RB power as non-SBFD (minimum).</w:t>
      </w:r>
      <w:bookmarkEnd w:id="1"/>
      <w:bookmarkEnd w:id="2"/>
    </w:p>
    <w:p w14:paraId="7740A775" w14:textId="77777777" w:rsidR="00391724" w:rsidRDefault="00391724" w:rsidP="00391724">
      <w:pPr>
        <w:rPr>
          <w:lang w:val="en-GB" w:eastAsia="ja-JP"/>
        </w:rPr>
      </w:pPr>
    </w:p>
    <w:p w14:paraId="5F50D9C5" w14:textId="77777777" w:rsidR="005666F8" w:rsidRDefault="005666F8" w:rsidP="005666F8">
      <w:pPr>
        <w:pStyle w:val="Doc-text2"/>
        <w:ind w:left="0" w:firstLine="0"/>
        <w:rPr>
          <w:u w:val="single"/>
          <w:lang w:val="en-US"/>
        </w:rPr>
      </w:pPr>
      <w:r>
        <w:rPr>
          <w:u w:val="single"/>
          <w:lang w:val="en-US"/>
        </w:rPr>
        <w:t>Co-location unwanted emissions</w:t>
      </w:r>
    </w:p>
    <w:p w14:paraId="3BBF4BB5" w14:textId="77777777" w:rsidR="005666F8" w:rsidRDefault="005666F8" w:rsidP="005666F8">
      <w:pPr>
        <w:pStyle w:val="Doc-text2"/>
        <w:ind w:left="0" w:firstLine="0"/>
        <w:rPr>
          <w:u w:val="single"/>
          <w:lang w:val="en-US"/>
        </w:rPr>
      </w:pPr>
    </w:p>
    <w:p w14:paraId="34C8433C" w14:textId="77777777" w:rsidR="005666F8" w:rsidRDefault="005666F8" w:rsidP="005666F8">
      <w:pPr>
        <w:pStyle w:val="Doc-text2"/>
        <w:ind w:left="0" w:firstLine="0"/>
        <w:rPr>
          <w:lang w:val="en-US"/>
        </w:rPr>
      </w:pPr>
      <w:r>
        <w:rPr>
          <w:lang w:val="en-US"/>
        </w:rPr>
        <w:t>The co-location unwanted emissions requirements define spurious emissions and RX blocking requirements between different bands. The BS declares whether it conforms to the co-location requirements for specific bands or not. In general, synchronization is not assumed between bands. Thus, declaring co-location between bands will also ensure that SBFD can be co-located with BS in the declared bands.</w:t>
      </w:r>
    </w:p>
    <w:p w14:paraId="01C81E88" w14:textId="77777777" w:rsidR="005666F8" w:rsidRDefault="005666F8" w:rsidP="005666F8">
      <w:pPr>
        <w:pStyle w:val="Doc-text2"/>
        <w:ind w:left="0" w:firstLine="0"/>
        <w:rPr>
          <w:lang w:val="en-US"/>
        </w:rPr>
      </w:pPr>
    </w:p>
    <w:p w14:paraId="7547F0B0" w14:textId="77777777" w:rsidR="005666F8" w:rsidRDefault="005666F8" w:rsidP="005666F8">
      <w:pPr>
        <w:pStyle w:val="Doc-text2"/>
        <w:ind w:left="0" w:firstLine="0"/>
        <w:rPr>
          <w:lang w:val="en-US"/>
        </w:rPr>
      </w:pPr>
      <w:r>
        <w:rPr>
          <w:lang w:val="en-US"/>
        </w:rPr>
        <w:t>It has been suggested that the co-location requirements could be relaxed because the SBFD UL sub-band is sensitive to interference. However, the co-existence blocking requirement is designed without synchronization in mind, and so is sufficient to protect UL slots in general.</w:t>
      </w:r>
    </w:p>
    <w:p w14:paraId="63E9935D" w14:textId="77777777" w:rsidR="005666F8" w:rsidRDefault="005666F8" w:rsidP="005666F8">
      <w:pPr>
        <w:pStyle w:val="Doc-text2"/>
        <w:ind w:left="0" w:firstLine="0"/>
        <w:rPr>
          <w:lang w:val="en-US"/>
        </w:rPr>
      </w:pPr>
    </w:p>
    <w:p w14:paraId="12C73845" w14:textId="537764C5" w:rsidR="005666F8" w:rsidRDefault="005666F8" w:rsidP="005666F8">
      <w:pPr>
        <w:pStyle w:val="Doc-text2"/>
        <w:ind w:left="0" w:firstLine="0"/>
        <w:rPr>
          <w:lang w:val="en-US"/>
        </w:rPr>
      </w:pPr>
      <w:r>
        <w:rPr>
          <w:lang w:val="en-US"/>
        </w:rPr>
        <w:t xml:space="preserve">For adjacent bands, implementation wise it becomes more difficult to meet the requirement. This is independent of SBFD or non-SBFD; either will require significant filtering. The purpose of the requirement though is that when met, it </w:t>
      </w:r>
      <w:proofErr w:type="gramStart"/>
      <w:r>
        <w:rPr>
          <w:lang w:val="en-US"/>
        </w:rPr>
        <w:t>enable</w:t>
      </w:r>
      <w:proofErr w:type="gramEnd"/>
      <w:r>
        <w:rPr>
          <w:lang w:val="en-US"/>
        </w:rPr>
        <w:t xml:space="preserve"> co-location in all circumstances. </w:t>
      </w:r>
    </w:p>
    <w:p w14:paraId="4C47B294" w14:textId="77777777" w:rsidR="00847EB6" w:rsidRDefault="005C537E" w:rsidP="005666F8">
      <w:pPr>
        <w:pStyle w:val="Doc-text2"/>
        <w:ind w:left="0" w:firstLine="0"/>
        <w:rPr>
          <w:lang w:val="en-US"/>
        </w:rPr>
      </w:pPr>
      <w:r>
        <w:rPr>
          <w:lang w:val="en-US"/>
        </w:rPr>
        <w:lastRenderedPageBreak/>
        <w:t>The existing requirements are based on a 30dB coupling loss</w:t>
      </w:r>
      <w:r w:rsidR="00FC228A">
        <w:rPr>
          <w:lang w:val="en-US"/>
        </w:rPr>
        <w:t xml:space="preserve">. There is an assumption that, if the requirement (based on 30dB CL) is met then the BS has demonstrated that it can be co-located with another operator </w:t>
      </w:r>
      <w:r w:rsidR="00847EB6">
        <w:rPr>
          <w:lang w:val="en-US"/>
        </w:rPr>
        <w:t xml:space="preserve">for any type of site. The principle that meeting the co-location requirement implies that co-location is feasible without site engineering should be kept as a basis for meeting the (declared) co-location requirements. Otherwise, if site engineering may still be required despite the </w:t>
      </w:r>
      <w:proofErr w:type="gramStart"/>
      <w:r w:rsidR="00847EB6">
        <w:rPr>
          <w:lang w:val="en-US"/>
        </w:rPr>
        <w:t>requirement</w:t>
      </w:r>
      <w:proofErr w:type="gramEnd"/>
      <w:r w:rsidR="00847EB6">
        <w:rPr>
          <w:lang w:val="en-US"/>
        </w:rPr>
        <w:t xml:space="preserve"> then the value f the requirement is lost.</w:t>
      </w:r>
    </w:p>
    <w:p w14:paraId="0CF0112C" w14:textId="3CDA8038" w:rsidR="005C537E" w:rsidRDefault="00847EB6" w:rsidP="005666F8">
      <w:pPr>
        <w:pStyle w:val="Doc-text2"/>
        <w:ind w:left="0" w:firstLine="0"/>
        <w:rPr>
          <w:lang w:val="en-US"/>
        </w:rPr>
      </w:pPr>
      <w:r>
        <w:rPr>
          <w:lang w:val="en-US"/>
        </w:rPr>
        <w:t>I</w:t>
      </w:r>
      <w:r w:rsidR="005C537E">
        <w:rPr>
          <w:lang w:val="en-US"/>
        </w:rPr>
        <w:t xml:space="preserve">t has been questioned whether the 30dB is still relevant considering higher TDD frequencies and AAS </w:t>
      </w:r>
      <w:proofErr w:type="spellStart"/>
      <w:r w:rsidR="005C537E">
        <w:rPr>
          <w:lang w:val="en-US"/>
        </w:rPr>
        <w:t>basestations</w:t>
      </w:r>
      <w:proofErr w:type="spellEnd"/>
      <w:r w:rsidR="005C537E">
        <w:rPr>
          <w:lang w:val="en-US"/>
        </w:rPr>
        <w:t>.</w:t>
      </w:r>
      <w:r w:rsidR="00641386">
        <w:rPr>
          <w:lang w:val="en-US"/>
        </w:rPr>
        <w:t xml:space="preserve"> This is a valid question</w:t>
      </w:r>
      <w:r w:rsidR="008E1E2B">
        <w:rPr>
          <w:lang w:val="en-US"/>
        </w:rPr>
        <w:t>. However, the question whether 30dB is relevant in at higher frequencies and for AAS is general and not SBFD specific. We propose not to discuss the question as part of SBFD, however a more general RAN4 work could investigate the 30dB assumption further.</w:t>
      </w:r>
    </w:p>
    <w:p w14:paraId="32E54D8A" w14:textId="7D43FBC1" w:rsidR="008E1E2B" w:rsidRDefault="008E1E2B" w:rsidP="005666F8">
      <w:pPr>
        <w:pStyle w:val="Doc-text2"/>
        <w:ind w:left="0" w:firstLine="0"/>
        <w:rPr>
          <w:lang w:val="en-US"/>
        </w:rPr>
      </w:pPr>
      <w:r>
        <w:rPr>
          <w:lang w:val="en-US"/>
        </w:rPr>
        <w:t>We note that even if an SBFD BS cannot operate with a neighbor with 30dB isolation, meeting the co-location requirement should simply not be declared for that case.</w:t>
      </w:r>
    </w:p>
    <w:p w14:paraId="7FC66E9A" w14:textId="77777777" w:rsidR="005666F8" w:rsidRDefault="005666F8" w:rsidP="005666F8">
      <w:pPr>
        <w:pStyle w:val="Doc-text2"/>
        <w:ind w:left="0" w:firstLine="0"/>
        <w:rPr>
          <w:lang w:val="en-US"/>
        </w:rPr>
      </w:pPr>
    </w:p>
    <w:p w14:paraId="7A8E0B58" w14:textId="77777777" w:rsidR="005666F8" w:rsidRDefault="005666F8" w:rsidP="005666F8">
      <w:pPr>
        <w:pStyle w:val="Proposal"/>
      </w:pPr>
      <w:bookmarkStart w:id="3" w:name="_Toc146630307"/>
      <w:bookmarkStart w:id="4" w:name="_Toc149901369"/>
      <w:r>
        <w:t>Keep the inter-band co-location requirements the same as for non-</w:t>
      </w:r>
      <w:proofErr w:type="gramStart"/>
      <w:r>
        <w:t>SBFD, and</w:t>
      </w:r>
      <w:proofErr w:type="gramEnd"/>
      <w:r>
        <w:t xml:space="preserve"> keep them declared.</w:t>
      </w:r>
      <w:bookmarkEnd w:id="3"/>
      <w:bookmarkEnd w:id="4"/>
    </w:p>
    <w:p w14:paraId="7F058708" w14:textId="1DAC7DEC" w:rsidR="008E1E2B" w:rsidRDefault="008E1E2B" w:rsidP="005666F8">
      <w:pPr>
        <w:pStyle w:val="Proposal"/>
      </w:pPr>
      <w:bookmarkStart w:id="5" w:name="_Toc149901370"/>
      <w:r>
        <w:t xml:space="preserve">Do not consider the 30dB isolation as part of </w:t>
      </w:r>
      <w:proofErr w:type="gramStart"/>
      <w:r>
        <w:t>SBFD, but</w:t>
      </w:r>
      <w:proofErr w:type="gramEnd"/>
      <w:r>
        <w:t xml:space="preserve"> consider whether to investigate more generally in RAN4.</w:t>
      </w:r>
      <w:bookmarkEnd w:id="5"/>
    </w:p>
    <w:p w14:paraId="5401ACD9" w14:textId="77777777" w:rsidR="005666F8" w:rsidRDefault="005666F8" w:rsidP="00391724">
      <w:pPr>
        <w:rPr>
          <w:lang w:eastAsia="ja-JP"/>
        </w:rPr>
      </w:pPr>
    </w:p>
    <w:p w14:paraId="19596EE1" w14:textId="77777777" w:rsidR="00280ECE" w:rsidRPr="001C3EF6" w:rsidRDefault="00280ECE" w:rsidP="00280ECE">
      <w:pPr>
        <w:rPr>
          <w:b/>
          <w:bCs/>
          <w:u w:val="single"/>
        </w:rPr>
      </w:pPr>
      <w:r w:rsidRPr="001C3EF6">
        <w:rPr>
          <w:u w:val="single"/>
        </w:rPr>
        <w:t>Transmitter intermodulation</w:t>
      </w:r>
    </w:p>
    <w:p w14:paraId="16FF6B08" w14:textId="77777777" w:rsidR="00280ECE" w:rsidRDefault="00280ECE" w:rsidP="00280ECE">
      <w:pPr>
        <w:pStyle w:val="Doc-text2"/>
        <w:ind w:left="0" w:firstLine="0"/>
      </w:pPr>
      <w:r>
        <w:t>The TX intermodulation is a transmitter requirement in which the transmitter is subject to an interferer with a power 30dB lower than the TX power level. The unwanted emissions requirements from the transmitter should continue to be met. In some regions, TX IM is a regulatory requirement.</w:t>
      </w:r>
    </w:p>
    <w:p w14:paraId="5FB9DBB6" w14:textId="77777777" w:rsidR="00280ECE" w:rsidRDefault="00280ECE" w:rsidP="00280ECE">
      <w:pPr>
        <w:pStyle w:val="Doc-text2"/>
        <w:ind w:left="0" w:firstLine="0"/>
      </w:pPr>
      <w:r>
        <w:t>In SBFD slots, the receive sub-band obviously cannot function if a TX intermodulation signal is applied and in general, situations with interference at such high level are not envisaged for SBFD deployments. Nonetheless, to show that the transmitter is robust and to meet relevant regulatory requirements, TX IM should still be applied to the transmitter during SBFD slots. The receiver should not be expected to function, or should be deactivated during such tests.</w:t>
      </w:r>
    </w:p>
    <w:p w14:paraId="782EABBB" w14:textId="77777777" w:rsidR="00280ECE" w:rsidRDefault="00280ECE" w:rsidP="00280ECE">
      <w:pPr>
        <w:pStyle w:val="Proposal"/>
        <w:numPr>
          <w:ilvl w:val="0"/>
          <w:numId w:val="0"/>
        </w:numPr>
        <w:rPr>
          <w:b w:val="0"/>
          <w:bCs w:val="0"/>
        </w:rPr>
      </w:pPr>
    </w:p>
    <w:p w14:paraId="317F243D" w14:textId="00418EFC" w:rsidR="00280ECE" w:rsidRDefault="00280ECE" w:rsidP="00280ECE">
      <w:pPr>
        <w:pStyle w:val="Proposal"/>
      </w:pPr>
      <w:bookmarkStart w:id="6" w:name="_Toc146630308"/>
      <w:bookmarkStart w:id="7" w:name="_Toc149901371"/>
      <w:r>
        <w:t xml:space="preserve">The TX IM requirement should be applied in SBFD slots. </w:t>
      </w:r>
      <w:r w:rsidR="00244CC9">
        <w:t>However,</w:t>
      </w:r>
      <w:r>
        <w:t xml:space="preserve"> during these tests, the RX sub-band is not intended to achieve and throughput and may be deactivated during the test.</w:t>
      </w:r>
      <w:bookmarkEnd w:id="6"/>
      <w:bookmarkEnd w:id="7"/>
    </w:p>
    <w:p w14:paraId="5B2E46A8" w14:textId="77777777" w:rsidR="00280ECE" w:rsidRDefault="00280ECE" w:rsidP="00391724">
      <w:pPr>
        <w:rPr>
          <w:u w:val="single"/>
          <w:lang w:eastAsia="ja-JP"/>
        </w:rPr>
      </w:pPr>
    </w:p>
    <w:p w14:paraId="3CF8C082" w14:textId="20538F7B" w:rsidR="00887B31" w:rsidRDefault="00887B31" w:rsidP="00391724">
      <w:pPr>
        <w:rPr>
          <w:u w:val="single"/>
          <w:lang w:eastAsia="ja-JP"/>
        </w:rPr>
      </w:pPr>
      <w:r>
        <w:rPr>
          <w:u w:val="single"/>
          <w:lang w:eastAsia="ja-JP"/>
        </w:rPr>
        <w:t>In-channel adjacent sub-band leakage ratio</w:t>
      </w:r>
    </w:p>
    <w:p w14:paraId="7230A939" w14:textId="10213E51" w:rsidR="00887B31" w:rsidRDefault="00887B31" w:rsidP="00887B31">
      <w:pPr>
        <w:rPr>
          <w:lang w:val="en-GB" w:eastAsia="ja-JP"/>
        </w:rPr>
      </w:pPr>
      <w:r>
        <w:rPr>
          <w:lang w:val="en-GB" w:eastAsia="ja-JP"/>
        </w:rPr>
        <w:t xml:space="preserve">For self-interference, the OTA sensitivity requirement inherently captures the sub-band interference and selectivity towards the own transmitter. However, for SBFD interferences from other sectors and other nodes in the deployment also needs to be achieved. In order to </w:t>
      </w:r>
      <w:r w:rsidR="00A805AB">
        <w:rPr>
          <w:lang w:val="en-GB" w:eastAsia="ja-JP"/>
        </w:rPr>
        <w:t>design</w:t>
      </w:r>
      <w:r>
        <w:rPr>
          <w:lang w:val="en-GB" w:eastAsia="ja-JP"/>
        </w:rPr>
        <w:t xml:space="preserve"> the </w:t>
      </w:r>
      <w:r w:rsidR="00A805AB">
        <w:rPr>
          <w:lang w:val="en-GB" w:eastAsia="ja-JP"/>
        </w:rPr>
        <w:t>sites</w:t>
      </w:r>
      <w:r>
        <w:rPr>
          <w:lang w:val="en-GB" w:eastAsia="ja-JP"/>
        </w:rPr>
        <w:t xml:space="preserve">, it is necessary to </w:t>
      </w:r>
      <w:r w:rsidR="001F1B77">
        <w:rPr>
          <w:lang w:val="en-GB" w:eastAsia="ja-JP"/>
        </w:rPr>
        <w:t>limit</w:t>
      </w:r>
      <w:r>
        <w:rPr>
          <w:lang w:val="en-GB" w:eastAsia="ja-JP"/>
        </w:rPr>
        <w:t xml:space="preserve"> how much interference can arise in the TX sub-band from another node, and when considering link </w:t>
      </w:r>
      <w:proofErr w:type="gramStart"/>
      <w:r>
        <w:rPr>
          <w:lang w:val="en-GB" w:eastAsia="ja-JP"/>
        </w:rPr>
        <w:t>budgets</w:t>
      </w:r>
      <w:proofErr w:type="gramEnd"/>
      <w:r>
        <w:rPr>
          <w:lang w:val="en-GB" w:eastAsia="ja-JP"/>
        </w:rPr>
        <w:t xml:space="preserve"> the maximum amount of TX sub-band the receiver can be subject to. To achieve this, requirements are needed on sub band emissions and selectivity.</w:t>
      </w:r>
    </w:p>
    <w:p w14:paraId="4FD8DFA6" w14:textId="445AB709" w:rsidR="00887B31" w:rsidRDefault="00887B31" w:rsidP="00887B31">
      <w:pPr>
        <w:pStyle w:val="Observation"/>
        <w:rPr>
          <w:lang w:val="en-GB"/>
        </w:rPr>
      </w:pPr>
      <w:bookmarkStart w:id="8" w:name="_Toc146630282"/>
      <w:bookmarkStart w:id="9" w:name="_Toc149901366"/>
      <w:r>
        <w:rPr>
          <w:lang w:val="en-GB"/>
        </w:rPr>
        <w:t xml:space="preserve">Requirements on inter-sub-band emissions and selectivity are needed to enable </w:t>
      </w:r>
      <w:r w:rsidR="00A805AB">
        <w:rPr>
          <w:lang w:val="en-GB"/>
        </w:rPr>
        <w:t>design</w:t>
      </w:r>
      <w:r>
        <w:rPr>
          <w:lang w:val="en-GB"/>
        </w:rPr>
        <w:t xml:space="preserve"> of node placement and power when planning based on expected minimum performances.</w:t>
      </w:r>
      <w:bookmarkEnd w:id="8"/>
      <w:bookmarkEnd w:id="9"/>
    </w:p>
    <w:p w14:paraId="4E08CB88" w14:textId="77777777" w:rsidR="00887B31" w:rsidRDefault="00887B31" w:rsidP="00887B31">
      <w:pPr>
        <w:rPr>
          <w:lang w:val="en-GB" w:eastAsia="ja-JP"/>
        </w:rPr>
      </w:pPr>
      <w:r>
        <w:rPr>
          <w:lang w:val="en-GB" w:eastAsia="ja-JP"/>
        </w:rPr>
        <w:t xml:space="preserve">The sub-band emissions requirement can be designed and expressed similarly to the ACLR requirement. </w:t>
      </w:r>
    </w:p>
    <w:p w14:paraId="4274ED48" w14:textId="77777777" w:rsidR="00887B31" w:rsidRDefault="00887B31" w:rsidP="00887B31">
      <w:pPr>
        <w:pStyle w:val="Proposal"/>
        <w:rPr>
          <w:lang w:val="en-GB"/>
        </w:rPr>
      </w:pPr>
      <w:bookmarkStart w:id="10" w:name="_Toc146630310"/>
      <w:bookmarkStart w:id="11" w:name="_Toc149901372"/>
      <w:r>
        <w:rPr>
          <w:lang w:val="en-GB"/>
        </w:rPr>
        <w:t xml:space="preserve">Define a requirement on TX sub-band emissions </w:t>
      </w:r>
      <w:proofErr w:type="gramStart"/>
      <w:r>
        <w:rPr>
          <w:lang w:val="en-GB"/>
        </w:rPr>
        <w:t>similar to</w:t>
      </w:r>
      <w:proofErr w:type="gramEnd"/>
      <w:r>
        <w:rPr>
          <w:lang w:val="en-GB"/>
        </w:rPr>
        <w:t xml:space="preserve"> the ACLR requirement.</w:t>
      </w:r>
      <w:bookmarkEnd w:id="10"/>
      <w:bookmarkEnd w:id="11"/>
    </w:p>
    <w:p w14:paraId="589F4BED" w14:textId="77777777" w:rsidR="00887B31" w:rsidRDefault="00887B31" w:rsidP="00391724">
      <w:pPr>
        <w:rPr>
          <w:lang w:val="en-GB" w:eastAsia="ja-JP"/>
        </w:rPr>
      </w:pPr>
    </w:p>
    <w:p w14:paraId="1385E016" w14:textId="2A1E1700" w:rsidR="00F227BF" w:rsidRDefault="00F227BF" w:rsidP="00391724">
      <w:pPr>
        <w:rPr>
          <w:u w:val="single"/>
          <w:lang w:val="en-GB" w:eastAsia="ja-JP"/>
        </w:rPr>
      </w:pPr>
      <w:r>
        <w:rPr>
          <w:u w:val="single"/>
          <w:lang w:val="en-GB" w:eastAsia="ja-JP"/>
        </w:rPr>
        <w:t>In-channel adjacent sub-band selectivity and blocking</w:t>
      </w:r>
    </w:p>
    <w:p w14:paraId="5F0676C8" w14:textId="66DA0750" w:rsidR="00F227BF" w:rsidRPr="00725C54" w:rsidRDefault="00F227BF" w:rsidP="00F227BF">
      <w:pPr>
        <w:rPr>
          <w:lang w:val="en-GB" w:eastAsia="ja-JP"/>
        </w:rPr>
      </w:pPr>
      <w:r>
        <w:rPr>
          <w:lang w:val="en-GB" w:eastAsia="ja-JP"/>
        </w:rPr>
        <w:t xml:space="preserve">During RAN4#108, two sub-band receiver requirements were </w:t>
      </w:r>
      <w:proofErr w:type="gramStart"/>
      <w:r>
        <w:rPr>
          <w:lang w:val="en-GB" w:eastAsia="ja-JP"/>
        </w:rPr>
        <w:t>discussed;</w:t>
      </w:r>
      <w:proofErr w:type="gramEnd"/>
      <w:r>
        <w:rPr>
          <w:lang w:val="en-GB" w:eastAsia="ja-JP"/>
        </w:rPr>
        <w:t xml:space="preserve"> sub-band selectivity and sub-band blocking. For the BS requirements, the selectivity is defined in the first adjacent channel and the blocking in the second adjacent channel to the carrier. However, this SBFD requirement should consider the TX sub-</w:t>
      </w:r>
      <w:r>
        <w:rPr>
          <w:lang w:val="en-GB" w:eastAsia="ja-JP"/>
        </w:rPr>
        <w:lastRenderedPageBreak/>
        <w:t>band, in which case both an interferer for adjacent channel selectivity and an interferer for blocking would be applied in the TX sub-band</w:t>
      </w:r>
      <w:r w:rsidR="00E77A5D">
        <w:rPr>
          <w:lang w:val="en-GB" w:eastAsia="ja-JP"/>
        </w:rPr>
        <w:t xml:space="preserve"> for the two different requirements</w:t>
      </w:r>
      <w:r>
        <w:rPr>
          <w:lang w:val="en-GB" w:eastAsia="ja-JP"/>
        </w:rPr>
        <w:t>. In both cases, the requirement would specify a maximum allowed sensitivity degradation in the presence of the interferer. I</w:t>
      </w:r>
      <w:r w:rsidR="00E77A5D">
        <w:rPr>
          <w:lang w:val="en-GB" w:eastAsia="ja-JP"/>
        </w:rPr>
        <w:t>t</w:t>
      </w:r>
      <w:r>
        <w:rPr>
          <w:lang w:val="en-GB" w:eastAsia="ja-JP"/>
        </w:rPr>
        <w:t xml:space="preserve"> is sufficient in this case to define one selectivity requirement with an applied interferer level in the TX sub-band and an allowed sensitivity degradation.</w:t>
      </w:r>
    </w:p>
    <w:p w14:paraId="1607B7B1" w14:textId="77777777" w:rsidR="00F227BF" w:rsidRPr="0092075B" w:rsidRDefault="00F227BF" w:rsidP="00F227BF"/>
    <w:p w14:paraId="0BC06F1E" w14:textId="77777777" w:rsidR="00F227BF" w:rsidRDefault="00F227BF" w:rsidP="00F227BF">
      <w:pPr>
        <w:pStyle w:val="Proposal"/>
      </w:pPr>
      <w:bookmarkStart w:id="12" w:name="_Toc146630311"/>
      <w:bookmarkStart w:id="13" w:name="_Toc149901373"/>
      <w:r>
        <w:t>Define a requirement on RX sub-band selectivity based on the ACS requirement.</w:t>
      </w:r>
      <w:bookmarkEnd w:id="12"/>
      <w:bookmarkEnd w:id="13"/>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954CAF" w14:textId="7510B2BB" w:rsidR="00C63CCE"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01366" w:history="1">
        <w:r w:rsidR="00C63CCE" w:rsidRPr="000A2B73">
          <w:rPr>
            <w:rStyle w:val="Hyperlink"/>
            <w:noProof/>
            <w:lang w:val="en-GB"/>
          </w:rPr>
          <w:t>Observation 1</w:t>
        </w:r>
        <w:r w:rsidR="00C63CCE">
          <w:rPr>
            <w:rFonts w:asciiTheme="minorHAnsi" w:eastAsiaTheme="minorEastAsia" w:hAnsiTheme="minorHAnsi"/>
            <w:b w:val="0"/>
            <w:noProof/>
            <w:sz w:val="22"/>
            <w:lang w:val="en-SE" w:eastAsia="en-SE"/>
          </w:rPr>
          <w:tab/>
        </w:r>
        <w:r w:rsidR="00C63CCE" w:rsidRPr="000A2B73">
          <w:rPr>
            <w:rStyle w:val="Hyperlink"/>
            <w:noProof/>
            <w:lang w:val="en-GB"/>
          </w:rPr>
          <w:t>Requirements on inter-sub-band emissions and selectivity are needed to enable design of node placement and power when planning based on expected minimum performances.</w:t>
        </w:r>
      </w:hyperlink>
    </w:p>
    <w:p w14:paraId="5F69EC0F" w14:textId="40ABD494"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4768AC" w14:textId="3692D8A8" w:rsidR="00C63CCE"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01368" w:history="1">
        <w:r w:rsidR="00C63CCE" w:rsidRPr="003F4D5C">
          <w:rPr>
            <w:rStyle w:val="Hyperlink"/>
            <w:noProof/>
            <w:lang w:val="en-GB"/>
          </w:rPr>
          <w:t>Proposal 1</w:t>
        </w:r>
        <w:r w:rsidR="00C63CCE">
          <w:rPr>
            <w:rFonts w:asciiTheme="minorHAnsi" w:eastAsiaTheme="minorEastAsia" w:hAnsiTheme="minorHAnsi"/>
            <w:b w:val="0"/>
            <w:noProof/>
            <w:sz w:val="22"/>
            <w:lang w:val="en-SE" w:eastAsia="en-SE"/>
          </w:rPr>
          <w:tab/>
        </w:r>
        <w:r w:rsidR="00C63CCE" w:rsidRPr="003F4D5C">
          <w:rPr>
            <w:rStyle w:val="Hyperlink"/>
            <w:noProof/>
            <w:lang w:val="en-GB"/>
          </w:rPr>
          <w:t>Define the output power dynamic range requirement for SBFD as the ratio of the declared rated output power with all DL RBs active for SBFD (maximum) and the same single RB power as non-SBFD (minimum).</w:t>
        </w:r>
      </w:hyperlink>
    </w:p>
    <w:p w14:paraId="038762EF" w14:textId="05CBB807" w:rsidR="00C63CCE" w:rsidRDefault="00C63CCE">
      <w:pPr>
        <w:pStyle w:val="TableofFigures"/>
        <w:tabs>
          <w:tab w:val="right" w:leader="dot" w:pos="9629"/>
        </w:tabs>
        <w:rPr>
          <w:rFonts w:asciiTheme="minorHAnsi" w:eastAsiaTheme="minorEastAsia" w:hAnsiTheme="minorHAnsi"/>
          <w:b w:val="0"/>
          <w:noProof/>
          <w:sz w:val="22"/>
          <w:lang w:val="en-SE" w:eastAsia="en-SE"/>
        </w:rPr>
      </w:pPr>
      <w:hyperlink w:anchor="_Toc149901369" w:history="1">
        <w:r w:rsidRPr="003F4D5C">
          <w:rPr>
            <w:rStyle w:val="Hyperlink"/>
            <w:noProof/>
          </w:rPr>
          <w:t>Proposal 2</w:t>
        </w:r>
        <w:r>
          <w:rPr>
            <w:rFonts w:asciiTheme="minorHAnsi" w:eastAsiaTheme="minorEastAsia" w:hAnsiTheme="minorHAnsi"/>
            <w:b w:val="0"/>
            <w:noProof/>
            <w:sz w:val="22"/>
            <w:lang w:val="en-SE" w:eastAsia="en-SE"/>
          </w:rPr>
          <w:tab/>
        </w:r>
        <w:r w:rsidRPr="003F4D5C">
          <w:rPr>
            <w:rStyle w:val="Hyperlink"/>
            <w:noProof/>
          </w:rPr>
          <w:t>Keep the inter-band co-location requirements the same as for non-SBFD, and keep them declared.</w:t>
        </w:r>
      </w:hyperlink>
    </w:p>
    <w:p w14:paraId="7BEB1322" w14:textId="33B13C80" w:rsidR="00C63CCE" w:rsidRDefault="00C63CCE">
      <w:pPr>
        <w:pStyle w:val="TableofFigures"/>
        <w:tabs>
          <w:tab w:val="right" w:leader="dot" w:pos="9629"/>
        </w:tabs>
        <w:rPr>
          <w:rFonts w:asciiTheme="minorHAnsi" w:eastAsiaTheme="minorEastAsia" w:hAnsiTheme="minorHAnsi"/>
          <w:b w:val="0"/>
          <w:noProof/>
          <w:sz w:val="22"/>
          <w:lang w:val="en-SE" w:eastAsia="en-SE"/>
        </w:rPr>
      </w:pPr>
      <w:hyperlink w:anchor="_Toc149901370" w:history="1">
        <w:r w:rsidRPr="003F4D5C">
          <w:rPr>
            <w:rStyle w:val="Hyperlink"/>
            <w:noProof/>
          </w:rPr>
          <w:t>Proposal 3</w:t>
        </w:r>
        <w:r>
          <w:rPr>
            <w:rFonts w:asciiTheme="minorHAnsi" w:eastAsiaTheme="minorEastAsia" w:hAnsiTheme="minorHAnsi"/>
            <w:b w:val="0"/>
            <w:noProof/>
            <w:sz w:val="22"/>
            <w:lang w:val="en-SE" w:eastAsia="en-SE"/>
          </w:rPr>
          <w:tab/>
        </w:r>
        <w:r w:rsidRPr="003F4D5C">
          <w:rPr>
            <w:rStyle w:val="Hyperlink"/>
            <w:noProof/>
          </w:rPr>
          <w:t>Do not consider the 30dB isolation as part of SBFD, but consider whether to investigate more generally in RAN4.</w:t>
        </w:r>
      </w:hyperlink>
    </w:p>
    <w:p w14:paraId="0449F4EB" w14:textId="691EEDC2" w:rsidR="00C63CCE" w:rsidRDefault="00C63CCE">
      <w:pPr>
        <w:pStyle w:val="TableofFigures"/>
        <w:tabs>
          <w:tab w:val="right" w:leader="dot" w:pos="9629"/>
        </w:tabs>
        <w:rPr>
          <w:rFonts w:asciiTheme="minorHAnsi" w:eastAsiaTheme="minorEastAsia" w:hAnsiTheme="minorHAnsi"/>
          <w:b w:val="0"/>
          <w:noProof/>
          <w:sz w:val="22"/>
          <w:lang w:val="en-SE" w:eastAsia="en-SE"/>
        </w:rPr>
      </w:pPr>
      <w:hyperlink w:anchor="_Toc149901371" w:history="1">
        <w:r w:rsidRPr="003F4D5C">
          <w:rPr>
            <w:rStyle w:val="Hyperlink"/>
            <w:noProof/>
          </w:rPr>
          <w:t>Proposal 4</w:t>
        </w:r>
        <w:r>
          <w:rPr>
            <w:rFonts w:asciiTheme="minorHAnsi" w:eastAsiaTheme="minorEastAsia" w:hAnsiTheme="minorHAnsi"/>
            <w:b w:val="0"/>
            <w:noProof/>
            <w:sz w:val="22"/>
            <w:lang w:val="en-SE" w:eastAsia="en-SE"/>
          </w:rPr>
          <w:tab/>
        </w:r>
        <w:r w:rsidRPr="003F4D5C">
          <w:rPr>
            <w:rStyle w:val="Hyperlink"/>
            <w:noProof/>
          </w:rPr>
          <w:t>The TX IM requirement should be applied in SBFD slots. However, during these tests, the RX sub-band is not intended to achieve and throughput and may be deactivated during the test.</w:t>
        </w:r>
      </w:hyperlink>
    </w:p>
    <w:p w14:paraId="24458EB3" w14:textId="69794296" w:rsidR="00C63CCE" w:rsidRDefault="00C63CCE">
      <w:pPr>
        <w:pStyle w:val="TableofFigures"/>
        <w:tabs>
          <w:tab w:val="right" w:leader="dot" w:pos="9629"/>
        </w:tabs>
        <w:rPr>
          <w:rFonts w:asciiTheme="minorHAnsi" w:eastAsiaTheme="minorEastAsia" w:hAnsiTheme="minorHAnsi"/>
          <w:b w:val="0"/>
          <w:noProof/>
          <w:sz w:val="22"/>
          <w:lang w:val="en-SE" w:eastAsia="en-SE"/>
        </w:rPr>
      </w:pPr>
      <w:hyperlink w:anchor="_Toc149901372" w:history="1">
        <w:r w:rsidRPr="003F4D5C">
          <w:rPr>
            <w:rStyle w:val="Hyperlink"/>
            <w:noProof/>
            <w:lang w:val="en-GB"/>
          </w:rPr>
          <w:t>Proposal 5</w:t>
        </w:r>
        <w:r>
          <w:rPr>
            <w:rFonts w:asciiTheme="minorHAnsi" w:eastAsiaTheme="minorEastAsia" w:hAnsiTheme="minorHAnsi"/>
            <w:b w:val="0"/>
            <w:noProof/>
            <w:sz w:val="22"/>
            <w:lang w:val="en-SE" w:eastAsia="en-SE"/>
          </w:rPr>
          <w:tab/>
        </w:r>
        <w:r w:rsidRPr="003F4D5C">
          <w:rPr>
            <w:rStyle w:val="Hyperlink"/>
            <w:noProof/>
            <w:lang w:val="en-GB"/>
          </w:rPr>
          <w:t>Define a requirement on TX sub-band emissions similar to the ACLR requirement.</w:t>
        </w:r>
      </w:hyperlink>
    </w:p>
    <w:p w14:paraId="1B802CC4" w14:textId="4E972807" w:rsidR="00C63CCE" w:rsidRDefault="00C63CCE">
      <w:pPr>
        <w:pStyle w:val="TableofFigures"/>
        <w:tabs>
          <w:tab w:val="right" w:leader="dot" w:pos="9629"/>
        </w:tabs>
        <w:rPr>
          <w:rFonts w:asciiTheme="minorHAnsi" w:eastAsiaTheme="minorEastAsia" w:hAnsiTheme="minorHAnsi"/>
          <w:b w:val="0"/>
          <w:noProof/>
          <w:sz w:val="22"/>
          <w:lang w:val="en-SE" w:eastAsia="en-SE"/>
        </w:rPr>
      </w:pPr>
      <w:hyperlink w:anchor="_Toc149901373" w:history="1">
        <w:r w:rsidRPr="003F4D5C">
          <w:rPr>
            <w:rStyle w:val="Hyperlink"/>
            <w:noProof/>
          </w:rPr>
          <w:t>Proposal 6</w:t>
        </w:r>
        <w:r>
          <w:rPr>
            <w:rFonts w:asciiTheme="minorHAnsi" w:eastAsiaTheme="minorEastAsia" w:hAnsiTheme="minorHAnsi"/>
            <w:b w:val="0"/>
            <w:noProof/>
            <w:sz w:val="22"/>
            <w:lang w:val="en-SE" w:eastAsia="en-SE"/>
          </w:rPr>
          <w:tab/>
        </w:r>
        <w:r w:rsidRPr="003F4D5C">
          <w:rPr>
            <w:rStyle w:val="Hyperlink"/>
            <w:noProof/>
          </w:rPr>
          <w:t>Define a requirement on RX sub-band selectivity based on the ACS requirement.</w:t>
        </w:r>
      </w:hyperlink>
    </w:p>
    <w:p w14:paraId="747C743C" w14:textId="1F421679"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14" w:name="_In-sequence_SDU_delivery"/>
      <w:bookmarkEnd w:id="14"/>
      <w:r w:rsidRPr="00CE0424">
        <w:t>References</w:t>
      </w:r>
    </w:p>
    <w:p w14:paraId="77C5E852" w14:textId="5021089F" w:rsidR="005F3025" w:rsidRPr="00CE0424" w:rsidRDefault="00754E1F" w:rsidP="00311702">
      <w:pPr>
        <w:pStyle w:val="Reference"/>
      </w:pPr>
      <w:bookmarkStart w:id="15" w:name="_Ref174151459"/>
      <w:bookmarkStart w:id="16" w:name="_Ref189809556"/>
      <w:r>
        <w:t>R4-</w:t>
      </w:r>
      <w:r w:rsidR="00E91798">
        <w:t>2316941, “</w:t>
      </w:r>
      <w:r w:rsidR="00E91798" w:rsidRPr="00E91798">
        <w:t>WF on SBFD BS requirements</w:t>
      </w:r>
      <w:r w:rsidR="00E91798">
        <w:t>”, Ericsson, RAN4#108bis</w:t>
      </w:r>
    </w:p>
    <w:bookmarkEnd w:id="15"/>
    <w:bookmarkEnd w:id="16"/>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1B7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CC9"/>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ECE"/>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172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FB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6F8"/>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37E"/>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386"/>
    <w:rsid w:val="0064151F"/>
    <w:rsid w:val="00641533"/>
    <w:rsid w:val="0064208D"/>
    <w:rsid w:val="00643475"/>
    <w:rsid w:val="0064396A"/>
    <w:rsid w:val="0064624E"/>
    <w:rsid w:val="006504B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9D6"/>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084"/>
    <w:rsid w:val="006F341D"/>
    <w:rsid w:val="006F3CDE"/>
    <w:rsid w:val="006F581A"/>
    <w:rsid w:val="006F58D4"/>
    <w:rsid w:val="006F6582"/>
    <w:rsid w:val="0070346E"/>
    <w:rsid w:val="00704EDB"/>
    <w:rsid w:val="00706101"/>
    <w:rsid w:val="00707072"/>
    <w:rsid w:val="00707D61"/>
    <w:rsid w:val="00712287"/>
    <w:rsid w:val="00712772"/>
    <w:rsid w:val="007132CA"/>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4E1F"/>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7D6"/>
    <w:rsid w:val="008235DB"/>
    <w:rsid w:val="00824AB4"/>
    <w:rsid w:val="00825C42"/>
    <w:rsid w:val="00825D25"/>
    <w:rsid w:val="00827D6F"/>
    <w:rsid w:val="008376AC"/>
    <w:rsid w:val="008444E8"/>
    <w:rsid w:val="00844E80"/>
    <w:rsid w:val="00846FE7"/>
    <w:rsid w:val="00847EB6"/>
    <w:rsid w:val="00856911"/>
    <w:rsid w:val="008677FD"/>
    <w:rsid w:val="008706D4"/>
    <w:rsid w:val="00870F8A"/>
    <w:rsid w:val="008719A4"/>
    <w:rsid w:val="00871D23"/>
    <w:rsid w:val="00874312"/>
    <w:rsid w:val="0087437C"/>
    <w:rsid w:val="00875CD7"/>
    <w:rsid w:val="00876B4D"/>
    <w:rsid w:val="00877F18"/>
    <w:rsid w:val="00887B3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E2B"/>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68C9"/>
    <w:rsid w:val="00A13E54"/>
    <w:rsid w:val="00A17F63"/>
    <w:rsid w:val="00A2193B"/>
    <w:rsid w:val="00A2351A"/>
    <w:rsid w:val="00A264A9"/>
    <w:rsid w:val="00A26DCF"/>
    <w:rsid w:val="00A27785"/>
    <w:rsid w:val="00A30187"/>
    <w:rsid w:val="00A3039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05A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22D3"/>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2DB2"/>
    <w:rsid w:val="00C473A5"/>
    <w:rsid w:val="00C54995"/>
    <w:rsid w:val="00C54D41"/>
    <w:rsid w:val="00C60783"/>
    <w:rsid w:val="00C63CCE"/>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A5D"/>
    <w:rsid w:val="00E8234C"/>
    <w:rsid w:val="00E83AA9"/>
    <w:rsid w:val="00E85928"/>
    <w:rsid w:val="00E87822"/>
    <w:rsid w:val="00E90395"/>
    <w:rsid w:val="00E90E49"/>
    <w:rsid w:val="00E91798"/>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7BF"/>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DEC"/>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28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www.w3.org/XML/1998/namespace"/>
    <ds:schemaRef ds:uri="http://purl.org/dc/elements/1.1/"/>
    <ds:schemaRef ds:uri="http://schemas.microsoft.com/office/2006/documentManagement/types"/>
    <ds:schemaRef ds:uri="http://purl.org/dc/dcmitype/"/>
    <ds:schemaRef ds:uri="d8762117-8292-4133-b1c7-eab5c6487cfd"/>
    <ds:schemaRef ds:uri="9b239327-9e80-40e4-b1b7-4394fed77a33"/>
    <ds:schemaRef ds:uri="http://schemas.openxmlformats.org/package/2006/metadata/core-properties"/>
    <ds:schemaRef ds:uri="http://schemas.microsoft.com/office/infopath/2007/PartnerControls"/>
    <ds:schemaRef ds:uri="http://purl.org/dc/terms/"/>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FB36F779-F2FD-4584-8668-A4A1370EA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1222</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33</cp:revision>
  <cp:lastPrinted>2008-01-31T16:09:00Z</cp:lastPrinted>
  <dcterms:created xsi:type="dcterms:W3CDTF">2020-08-14T06:21:00Z</dcterms:created>
  <dcterms:modified xsi:type="dcterms:W3CDTF">2023-11-03T09:55:00Z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